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9317A5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8A5028" w:rsidRPr="002210AF" w:rsidRDefault="008A5028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9317A5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8A5028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A5028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8A50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07.10.2019</w:t>
                        </w:r>
                      </w:p>
                    </w:tc>
                  </w:tr>
                  <w:tr w:rsidR="008A5028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603Х4988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B72538" w:rsidRDefault="008A5028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2210AF">
        <w:rPr>
          <w:kern w:val="2"/>
          <w:sz w:val="28"/>
          <w:szCs w:val="28"/>
          <w:shd w:val="clear" w:color="auto" w:fill="FFFFFF"/>
        </w:rPr>
        <w:t xml:space="preserve">19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8A5028">
        <w:rPr>
          <w:kern w:val="2"/>
          <w:sz w:val="28"/>
          <w:szCs w:val="28"/>
          <w:shd w:val="clear" w:color="auto" w:fill="FFFFFF"/>
        </w:rPr>
        <w:t>7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8A5028">
        <w:rPr>
          <w:kern w:val="2"/>
          <w:sz w:val="28"/>
          <w:szCs w:val="28"/>
          <w:shd w:val="clear" w:color="auto" w:fill="FFFFFF"/>
        </w:rPr>
        <w:t>октября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2210AF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8A5028">
        <w:rPr>
          <w:b/>
          <w:bCs/>
          <w:kern w:val="2"/>
          <w:sz w:val="28"/>
          <w:szCs w:val="28"/>
          <w:u w:val="single"/>
        </w:rPr>
        <w:t>3</w:t>
      </w:r>
      <w:r w:rsidR="00720D7C">
        <w:rPr>
          <w:b/>
          <w:bCs/>
          <w:kern w:val="2"/>
          <w:sz w:val="28"/>
          <w:szCs w:val="28"/>
          <w:u w:val="single"/>
        </w:rPr>
        <w:t xml:space="preserve"> квартал 2019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9317A5" w:rsidP="00CB3F6E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317A5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8A5028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A5028" w:rsidRPr="00C95250" w:rsidRDefault="008A5028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A5028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8A5028" w:rsidRPr="00C95250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334FCF" w:rsidRDefault="008A5028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CB3F6E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CB3F6E" w:rsidRPr="003C696D" w:rsidRDefault="00CB3F6E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90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28"/>
      </w:tblGrid>
      <w:tr w:rsidR="006D7DA9" w:rsidRPr="003C696D" w:rsidTr="00CB3F6E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2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7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B3F6E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9317A5" w:rsidRPr="009317A5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9317A5" w:rsidRPr="009317A5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9317A5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B3F6E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583C7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8A5028" w:rsidRDefault="009317A5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317A5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left:0;text-align:left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A5028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684A9C" w:rsidRDefault="008A5028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8A5028" w:rsidRPr="001069DC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3F6E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8A5028" w:rsidRPr="00C95250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8A5028" w:rsidRPr="0081053E" w:rsidRDefault="008A5028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</w:t>
      </w:r>
      <w:r w:rsidR="006D7DA9"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</w:t>
      </w:r>
      <w:r w:rsidR="00CB3F6E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культурно-массовых мероприятий</w:t>
      </w:r>
    </w:p>
    <w:p w:rsidR="008A5028" w:rsidRPr="00AC31D6" w:rsidRDefault="006D7DA9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</w:t>
      </w:r>
      <w:r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Категории потребителей работы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Физические лица, </w:t>
      </w:r>
      <w:r w:rsidR="00CB3F6E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</w:t>
      </w:r>
    </w:p>
    <w:p w:rsidR="00CB3F6E" w:rsidRDefault="00CB3F6E" w:rsidP="008A5028">
      <w:pPr>
        <w:outlineLvl w:val="3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8A5028">
      <w:pPr>
        <w:outlineLvl w:val="3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CB3F6E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583C7D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583C7D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583C7D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1</w:t>
      </w:r>
      <w:r w:rsidR="00C636C5">
        <w:rPr>
          <w:kern w:val="2"/>
          <w:sz w:val="28"/>
          <w:szCs w:val="28"/>
          <w:shd w:val="clear" w:color="auto" w:fill="FFFFFF"/>
        </w:rPr>
        <w:t>октября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310866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1104"/>
        <w:gridCol w:w="719"/>
        <w:gridCol w:w="842"/>
        <w:gridCol w:w="1122"/>
        <w:gridCol w:w="982"/>
      </w:tblGrid>
      <w:tr w:rsidR="006D7DA9" w:rsidRPr="003C696D" w:rsidTr="008A5028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5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8A502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10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8A5028" w:rsidRPr="003C696D" w:rsidTr="00CB3F6E">
        <w:tc>
          <w:tcPr>
            <w:tcW w:w="850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1120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Положительные отзывы (в СМИ, от участников)  </w:t>
            </w:r>
          </w:p>
        </w:tc>
        <w:tc>
          <w:tcPr>
            <w:tcW w:w="981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04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270"/>
        <w:gridCol w:w="970"/>
        <w:gridCol w:w="1270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1"/>
      </w:tblGrid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проведенныхъ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08028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382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080288" w:rsidP="008A502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8A5028">
              <w:rPr>
                <w:kern w:val="2"/>
                <w:sz w:val="24"/>
                <w:szCs w:val="24"/>
              </w:rPr>
              <w:t>96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02548" w:rsidRPr="003C696D" w:rsidTr="00D02548">
        <w:tc>
          <w:tcPr>
            <w:tcW w:w="238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7640</w:t>
            </w:r>
          </w:p>
        </w:tc>
        <w:tc>
          <w:tcPr>
            <w:tcW w:w="33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02548" w:rsidRPr="003C696D" w:rsidRDefault="008A502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7403</w:t>
            </w:r>
          </w:p>
        </w:tc>
        <w:tc>
          <w:tcPr>
            <w:tcW w:w="307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</w:t>
            </w:r>
          </w:p>
        </w:tc>
        <w:tc>
          <w:tcPr>
            <w:tcW w:w="294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8A5028">
        <w:rPr>
          <w:kern w:val="2"/>
          <w:sz w:val="28"/>
          <w:szCs w:val="28"/>
        </w:rPr>
        <w:t>7</w:t>
      </w:r>
      <w:r w:rsidRPr="003C696D">
        <w:rPr>
          <w:kern w:val="2"/>
          <w:sz w:val="28"/>
          <w:szCs w:val="28"/>
        </w:rPr>
        <w:t xml:space="preserve"> » </w:t>
      </w:r>
      <w:r w:rsidR="008A5028">
        <w:rPr>
          <w:kern w:val="2"/>
          <w:sz w:val="28"/>
          <w:szCs w:val="28"/>
        </w:rPr>
        <w:t>октября</w:t>
      </w:r>
      <w:r w:rsidR="00870E0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 20</w:t>
      </w:r>
      <w:r w:rsidR="00870E0D">
        <w:rPr>
          <w:kern w:val="2"/>
          <w:sz w:val="28"/>
          <w:szCs w:val="28"/>
        </w:rPr>
        <w:t>19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8" w:rsidRDefault="008A5028" w:rsidP="00927ADE">
      <w:r>
        <w:separator/>
      </w:r>
    </w:p>
  </w:endnote>
  <w:endnote w:type="continuationSeparator" w:id="0">
    <w:p w:rsidR="008A5028" w:rsidRDefault="008A5028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8" w:rsidRDefault="008A5028" w:rsidP="00927ADE">
      <w:r>
        <w:separator/>
      </w:r>
    </w:p>
  </w:footnote>
  <w:footnote w:type="continuationSeparator" w:id="0">
    <w:p w:rsidR="008A5028" w:rsidRDefault="008A5028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9317A5">
    <w:pPr>
      <w:rPr>
        <w:sz w:val="2"/>
        <w:szCs w:val="2"/>
      </w:rPr>
    </w:pPr>
    <w:r w:rsidRPr="009317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Pr="00774A04" w:rsidRDefault="008A5028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9317A5">
    <w:pPr>
      <w:rPr>
        <w:sz w:val="2"/>
        <w:szCs w:val="2"/>
      </w:rPr>
    </w:pPr>
    <w:r w:rsidRPr="009317A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0122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0288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A3F50"/>
    <w:rsid w:val="001B3AAC"/>
    <w:rsid w:val="001C041A"/>
    <w:rsid w:val="001C281D"/>
    <w:rsid w:val="001D15F7"/>
    <w:rsid w:val="001E01E9"/>
    <w:rsid w:val="001E0EB7"/>
    <w:rsid w:val="001E7E0A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0866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3C7D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A5028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317A5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30C1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7478"/>
    <w:rsid w:val="00C10238"/>
    <w:rsid w:val="00C156A6"/>
    <w:rsid w:val="00C23255"/>
    <w:rsid w:val="00C5731E"/>
    <w:rsid w:val="00C636C5"/>
    <w:rsid w:val="00C72004"/>
    <w:rsid w:val="00C85E12"/>
    <w:rsid w:val="00C95250"/>
    <w:rsid w:val="00C959C5"/>
    <w:rsid w:val="00CB1BE5"/>
    <w:rsid w:val="00CB3F6E"/>
    <w:rsid w:val="00CB5063"/>
    <w:rsid w:val="00CB7B3B"/>
    <w:rsid w:val="00CD1C64"/>
    <w:rsid w:val="00CD6BF9"/>
    <w:rsid w:val="00CE037F"/>
    <w:rsid w:val="00CF4DA1"/>
    <w:rsid w:val="00D02548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8997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4</cp:revision>
  <cp:lastPrinted>2019-05-26T20:02:00Z</cp:lastPrinted>
  <dcterms:created xsi:type="dcterms:W3CDTF">2020-07-02T08:16:00Z</dcterms:created>
  <dcterms:modified xsi:type="dcterms:W3CDTF">2020-07-02T08:29:00Z</dcterms:modified>
</cp:coreProperties>
</file>