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2" w:rsidRDefault="00977F7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 движимого имущества, находящихся в муниципальной собственности муниципального образования </w:t>
      </w: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FE5163">
        <w:rPr>
          <w:rFonts w:ascii="Times New Roman" w:hAnsi="Times New Roman"/>
          <w:sz w:val="28"/>
        </w:rPr>
        <w:t>04</w:t>
      </w:r>
      <w:bookmarkStart w:id="0" w:name="_GoBack"/>
      <w:bookmarkEnd w:id="0"/>
      <w:r>
        <w:rPr>
          <w:rFonts w:ascii="Times New Roman" w:hAnsi="Times New Roman"/>
          <w:sz w:val="28"/>
        </w:rPr>
        <w:t>.20</w:t>
      </w:r>
      <w:r w:rsidR="00F36AE4">
        <w:rPr>
          <w:rFonts w:ascii="Times New Roman" w:hAnsi="Times New Roman"/>
          <w:sz w:val="28"/>
        </w:rPr>
        <w:t>24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18"/>
        <w:gridCol w:w="1686"/>
        <w:gridCol w:w="3454"/>
        <w:gridCol w:w="2968"/>
        <w:gridCol w:w="1933"/>
        <w:gridCol w:w="2052"/>
      </w:tblGrid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Автомобиль CHEVROLET NIVA 212300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Идентификационный номер X9L21230080236888, категория ТС B. Год изготовления 2008. Модель 2123, 0248282, кузов X9L21230080236888, цвет кузова серо-голубой </w:t>
            </w:r>
            <w:proofErr w:type="spellStart"/>
            <w:r>
              <w:rPr>
                <w:rFonts w:asciiTheme="majorHAnsi" w:hAnsiTheme="majorHAnsi"/>
                <w:sz w:val="24"/>
              </w:rPr>
              <w:t>металик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мощность двигателя 79,60 (58,50), рабочий объем двигателя 1.690,00, тип двигателя </w:t>
            </w:r>
            <w:proofErr w:type="spellStart"/>
            <w:r>
              <w:rPr>
                <w:rFonts w:asciiTheme="majorHAnsi" w:hAnsiTheme="majorHAnsi"/>
                <w:sz w:val="24"/>
              </w:rPr>
              <w:t>бензиновыйл</w:t>
            </w:r>
            <w:proofErr w:type="spellEnd"/>
            <w:r>
              <w:rPr>
                <w:rFonts w:asciiTheme="majorHAnsi" w:hAnsiTheme="majorHAnsi"/>
                <w:sz w:val="24"/>
              </w:rPr>
              <w:t>, экологический класс – третий, разрешенная максимальная масса 1.850,  , масса без нагрузки – 1.400,00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Сети наружного освещения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Победы, улица Ленина, улица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ул.Пушкина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ул.Партизанская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ул.Южная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ул.Садовая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ул.Нырненко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ул.Западная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ул.Заречная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ул.Степная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ул.Гагарина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ул.Колхозная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ул.Молодежная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пер.Октябрьский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пер.Фадеева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Нижний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ул.Нижняя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ул.Верхний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Верхняя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ул.Красная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пер.Заречный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пер.Западный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ул.Григорьевская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пер.Бакумов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хутор </w:t>
            </w:r>
            <w:proofErr w:type="spellStart"/>
            <w:r>
              <w:rPr>
                <w:rFonts w:asciiTheme="majorHAnsi" w:hAnsiTheme="majorHAnsi"/>
                <w:sz w:val="24"/>
              </w:rPr>
              <w:t>Фроловка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Центральная,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Протяженность - 28200 м,  провод А-16,  Светильник наружный НКУ- 130 шт.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Пожарный автомобиль АЦ-40 (375) УРАЛ </w:t>
            </w:r>
            <w:proofErr w:type="spellStart"/>
            <w:r>
              <w:rPr>
                <w:rFonts w:asciiTheme="majorHAnsi" w:hAnsiTheme="majorHAnsi"/>
              </w:rPr>
              <w:t>г.н</w:t>
            </w:r>
            <w:proofErr w:type="spellEnd"/>
            <w:r>
              <w:rPr>
                <w:rFonts w:asciiTheme="majorHAnsi" w:hAnsiTheme="majorHAnsi"/>
              </w:rPr>
              <w:t xml:space="preserve">. В917ВТ161 </w:t>
            </w:r>
            <w:proofErr w:type="spellStart"/>
            <w:r>
              <w:rPr>
                <w:rFonts w:asciiTheme="majorHAnsi" w:hAnsiTheme="majorHAnsi"/>
              </w:rPr>
              <w:t>рег</w:t>
            </w:r>
            <w:proofErr w:type="spellEnd"/>
            <w:r>
              <w:rPr>
                <w:rFonts w:asciiTheme="majorHAnsi" w:hAnsiTheme="majorHAnsi"/>
              </w:rPr>
              <w:t>"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Автомобиль выпуска 1981 года, шасси № 363500; кузов БН ЦИСТЕРНА категории С, двигатель № 519836, дизельный, техническое состояние автомобиля, агрегатов и деталей </w:t>
            </w:r>
            <w:proofErr w:type="gramStart"/>
            <w:r>
              <w:rPr>
                <w:rFonts w:asciiTheme="majorHAnsi" w:hAnsiTheme="majorHAnsi"/>
                <w:sz w:val="24"/>
              </w:rPr>
              <w:t>-у</w:t>
            </w:r>
            <w:proofErr w:type="gramEnd"/>
            <w:r>
              <w:rPr>
                <w:rFonts w:asciiTheme="majorHAnsi" w:hAnsiTheme="majorHAnsi"/>
                <w:sz w:val="24"/>
              </w:rPr>
              <w:t>довлетворительное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F36AE4">
        <w:tc>
          <w:tcPr>
            <w:tcW w:w="560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918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686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сцена «Камелия», 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4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</w:p>
        </w:tc>
        <w:tc>
          <w:tcPr>
            <w:tcW w:w="2968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 xml:space="preserve">пространственная несущая оболочка (комплект деталей из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гнутоклеенной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конструкционной балки сечением 140x144мм,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металические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коннекторы и монтажная фурнитура 7x5м площадь по полу 35м2. обработка древесины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влагобиозащитными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составами; шлифовка, окраска 2 слоя, цвет молочный кофе);</w:t>
            </w:r>
          </w:p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 xml:space="preserve">- покрытие конструкции (архитектурная ткань Г1ВХ 8еп&gt;е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Реггап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Цвет: бежевый устойчивость от перепадов температур, круглогодичного использования; огнестойкость; В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2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/Г1; наличие сертификата, двухстороннее лаковое покрытие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плотностьткани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ПВХ, 650г/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кв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м, монтажная фурнитура из нержавеющей стали);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 w:rsidRPr="00F36AE4">
              <w:rPr>
                <w:rFonts w:asciiTheme="majorHAnsi" w:hAnsiTheme="majorHAnsi"/>
                <w:sz w:val="24"/>
              </w:rPr>
              <w:t>- напольное  покрытие (Площадь 40м2.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 xml:space="preserve">Террасная доска из палубной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лественницы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 28x140, покрытие террасным маслом в 1 слой с 4 сторон, в 2 слоя с лицевой стороны.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Система лаг из бруса 200x200 с обработкой антисептиком в 2 слоя. Оцинкованный крепеж. Монтаж системы основания и напольного покрытия. 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Крепеж на потайные оцинкованные шурупы)</w:t>
            </w:r>
            <w:r>
              <w:rPr>
                <w:rFonts w:asciiTheme="majorHAnsi" w:hAnsiTheme="majorHAnsi"/>
                <w:sz w:val="24"/>
              </w:rPr>
              <w:t>, состояние удовлетворительное</w:t>
            </w:r>
            <w:proofErr w:type="gramEnd"/>
          </w:p>
        </w:tc>
        <w:tc>
          <w:tcPr>
            <w:tcW w:w="1933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52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Муниципальное бюджетное учреждение  культуры Титовского сельского поселения "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Титовский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информационн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о-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 культурный центр", оперативное управление, договор от 20.12.2022</w:t>
            </w:r>
          </w:p>
        </w:tc>
      </w:tr>
    </w:tbl>
    <w:p w:rsidR="008E3612" w:rsidRDefault="008E3612">
      <w:pPr>
        <w:jc w:val="center"/>
        <w:rPr>
          <w:rFonts w:asciiTheme="majorHAnsi" w:hAnsiTheme="majorHAnsi"/>
          <w:sz w:val="24"/>
        </w:rPr>
      </w:pPr>
    </w:p>
    <w:sectPr w:rsidR="008E3612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2"/>
    <w:rsid w:val="008E3612"/>
    <w:rsid w:val="00977F71"/>
    <w:rsid w:val="00987810"/>
    <w:rsid w:val="00F36AE4"/>
    <w:rsid w:val="00FD380E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2024-03-20T12:03:00Z</dcterms:created>
  <dcterms:modified xsi:type="dcterms:W3CDTF">2024-03-20T12:03:00Z</dcterms:modified>
</cp:coreProperties>
</file>