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32"/>
        </w:rPr>
      </w:pPr>
      <w:r>
        <w:rPr>
          <w:sz w:val="32"/>
        </w:rPr>
        <w:t>РОССИЙСКАЯ ФЕДЕРАЦИЯ</w:t>
      </w:r>
    </w:p>
    <w:p w14:paraId="03000000">
      <w:pPr>
        <w:ind/>
        <w:jc w:val="center"/>
        <w:rPr>
          <w:sz w:val="32"/>
        </w:rPr>
      </w:pPr>
      <w:r>
        <w:rPr>
          <w:sz w:val="32"/>
        </w:rPr>
        <w:t>РОСТОВСКАЯ ОБЛАСТЬ</w:t>
      </w:r>
    </w:p>
    <w:p w14:paraId="04000000">
      <w:pPr>
        <w:ind/>
        <w:jc w:val="center"/>
        <w:rPr>
          <w:sz w:val="32"/>
        </w:rPr>
      </w:pPr>
      <w:r>
        <w:rPr>
          <w:sz w:val="32"/>
        </w:rPr>
        <w:t>МУНИЦИПАЛЬНОЕ ОБРАЗОВАНИЕ</w:t>
      </w:r>
    </w:p>
    <w:p w14:paraId="05000000">
      <w:pPr>
        <w:ind/>
        <w:jc w:val="center"/>
        <w:rPr>
          <w:sz w:val="32"/>
        </w:rPr>
      </w:pPr>
      <w:r>
        <w:rPr>
          <w:sz w:val="32"/>
        </w:rPr>
        <w:t>«ТИТОВСКОЕ  СЕЛЬСКОЕ ПОСЕЛЕНИЕ»</w:t>
      </w:r>
    </w:p>
    <w:p w14:paraId="06000000">
      <w:pPr>
        <w:ind/>
        <w:jc w:val="center"/>
        <w:rPr>
          <w:b w:val="1"/>
          <w:sz w:val="32"/>
        </w:rPr>
      </w:pPr>
    </w:p>
    <w:p w14:paraId="0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8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 СЕЛЬСКОГО ПОСЕЛЕНИЯ</w:t>
      </w:r>
    </w:p>
    <w:p w14:paraId="09000000">
      <w:pPr>
        <w:ind/>
        <w:jc w:val="center"/>
        <w:rPr>
          <w:b w:val="1"/>
          <w:sz w:val="32"/>
        </w:rPr>
      </w:pPr>
    </w:p>
    <w:p w14:paraId="0A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B000000">
      <w:pPr>
        <w:ind/>
        <w:jc w:val="center"/>
      </w:pPr>
      <w:r>
        <w:t>04.07.2022 г.</w:t>
      </w:r>
      <w:r>
        <w:t xml:space="preserve"> № 50</w:t>
      </w:r>
    </w:p>
    <w:p w14:paraId="0C000000">
      <w:pPr>
        <w:ind/>
        <w:jc w:val="center"/>
      </w:pPr>
    </w:p>
    <w:p w14:paraId="0D000000">
      <w:pPr>
        <w:ind/>
        <w:jc w:val="center"/>
      </w:pPr>
      <w:r>
        <w:t>сл. Титовка</w:t>
      </w:r>
    </w:p>
    <w:p w14:paraId="0E000000">
      <w:pPr>
        <w:ind/>
        <w:jc w:val="center"/>
      </w:pPr>
    </w:p>
    <w:p w14:paraId="0F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О внесении изменений в постановление</w:t>
      </w:r>
      <w:r>
        <w:rPr>
          <w:b w:val="1"/>
        </w:rPr>
        <w:t xml:space="preserve"> </w:t>
      </w:r>
    </w:p>
    <w:p w14:paraId="10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 xml:space="preserve">Администрации </w:t>
      </w:r>
      <w:r>
        <w:rPr>
          <w:b w:val="1"/>
        </w:rPr>
        <w:t>Титовского сельского поселения</w:t>
      </w:r>
    </w:p>
    <w:p w14:paraId="11000000">
      <w:pPr>
        <w:spacing w:line="216" w:lineRule="auto"/>
        <w:ind/>
        <w:jc w:val="center"/>
        <w:rPr>
          <w:b w:val="1"/>
        </w:rPr>
      </w:pPr>
      <w:r>
        <w:rPr>
          <w:b w:val="1"/>
        </w:rPr>
        <w:t>от 16.06.2015г. №44</w:t>
      </w:r>
    </w:p>
    <w:p w14:paraId="12000000">
      <w:pPr>
        <w:spacing w:line="216" w:lineRule="auto"/>
        <w:ind/>
        <w:jc w:val="center"/>
        <w:rPr>
          <w:b w:val="1"/>
        </w:rPr>
      </w:pPr>
    </w:p>
    <w:p w14:paraId="13000000">
      <w:pPr>
        <w:ind/>
        <w:jc w:val="both"/>
      </w:pPr>
      <w:r>
        <w:t>В соответствии с Федеральным законом от 05.04.2013 №</w:t>
      </w:r>
      <w:r>
        <w:t xml:space="preserve"> </w:t>
      </w:r>
      <w:r>
        <w:t xml:space="preserve">44-ФЗ </w:t>
      </w:r>
      <w:r>
        <w:br/>
      </w:r>
      <w:r>
        <w:t xml:space="preserve">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30.06.2020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 и муниципальных нужд заключения контракта с единственным поставщиком (подрядчиком, исполнителем) </w:t>
      </w:r>
      <w:r>
        <w:t xml:space="preserve">и о внесении изменений в некоторые акты Правительства Российской Федерации» Администрация Титовского сельского поселения </w:t>
      </w:r>
      <w:r>
        <w:rPr>
          <w:b w:val="1"/>
          <w:spacing w:val="60"/>
        </w:rPr>
        <w:t>постановляет:</w:t>
      </w:r>
    </w:p>
    <w:p w14:paraId="14000000">
      <w:pPr>
        <w:ind w:firstLine="720" w:left="0"/>
        <w:jc w:val="both"/>
      </w:pPr>
      <w:r>
        <w:t xml:space="preserve">1. Внести в постановление Администрации Миллеровского района </w:t>
      </w:r>
      <w:r>
        <w:br/>
      </w:r>
      <w:r>
        <w:t xml:space="preserve">от 16.06.2015 № 44 «О создании комиссии по рассмотрению обращений </w:t>
      </w:r>
      <w:r>
        <w:br/>
      </w:r>
      <w:r>
        <w:t>о согласовании заключения контракта с единственным поставщиком (подрядчиком, исполнителем)» следующие изменения:</w:t>
      </w:r>
    </w:p>
    <w:p w14:paraId="15000000">
      <w:pPr>
        <w:ind w:firstLine="720" w:left="0"/>
        <w:jc w:val="both"/>
      </w:pPr>
      <w:r>
        <w:t>1.1. Приложение № 1 к постановлению изложить в новой редакции согласно приложению № 1 к данному постановлению.</w:t>
      </w:r>
    </w:p>
    <w:p w14:paraId="16000000">
      <w:pPr>
        <w:widowControl w:val="0"/>
        <w:ind w:firstLine="709" w:left="0"/>
        <w:jc w:val="both"/>
      </w:pPr>
      <w:r>
        <w:t>1.2. Приложение № 2 к постановлению изложить в новой редакции согласно приложению № 2 к данному постановлению.</w:t>
      </w:r>
    </w:p>
    <w:p w14:paraId="17000000">
      <w:pPr>
        <w:ind w:firstLine="720" w:left="0"/>
        <w:jc w:val="both"/>
      </w:pPr>
      <w:r>
        <w:t>2. Настоящее постановление подлежит официальному опубликованию.</w:t>
      </w:r>
    </w:p>
    <w:p w14:paraId="18000000">
      <w:pPr>
        <w:widowControl w:val="0"/>
        <w:ind w:firstLine="720" w:left="0"/>
        <w:jc w:val="both"/>
      </w:pPr>
      <w:r>
        <w:t>3. Контроль за выполнением постановления оставляю за собой.</w:t>
      </w:r>
    </w:p>
    <w:p w14:paraId="19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A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                                                        Е.В.Нырненко</w:t>
      </w:r>
    </w:p>
    <w:p w14:paraId="1B000000">
      <w:pPr>
        <w:pageBreakBefore w:val="1"/>
        <w:widowControl w:val="0"/>
        <w:ind w:firstLine="0" w:left="6237"/>
        <w:jc w:val="center"/>
      </w:pPr>
    </w:p>
    <w:p w14:paraId="1C000000">
      <w:pPr>
        <w:pageBreakBefore w:val="1"/>
        <w:widowControl w:val="0"/>
        <w:ind w:firstLine="0" w:left="6237"/>
        <w:jc w:val="center"/>
      </w:pPr>
      <w:r>
        <w:t>П</w:t>
      </w:r>
      <w:r>
        <w:t xml:space="preserve">риложение № </w:t>
      </w:r>
      <w:r>
        <w:t>1</w:t>
      </w:r>
      <w:r>
        <w:t xml:space="preserve"> </w:t>
      </w:r>
    </w:p>
    <w:p w14:paraId="1D000000">
      <w:pPr>
        <w:widowControl w:val="0"/>
        <w:ind w:firstLine="0" w:left="6237"/>
        <w:jc w:val="center"/>
      </w:pPr>
      <w:r>
        <w:t>к постановлению</w:t>
      </w:r>
    </w:p>
    <w:p w14:paraId="1E000000">
      <w:pPr>
        <w:widowControl w:val="0"/>
        <w:ind w:firstLine="0" w:left="6237"/>
        <w:jc w:val="center"/>
      </w:pPr>
      <w:r>
        <w:t xml:space="preserve">Администрации </w:t>
      </w:r>
      <w:r>
        <w:t>Титовского сельского поселения</w:t>
      </w:r>
    </w:p>
    <w:p w14:paraId="1F000000">
      <w:pPr>
        <w:widowControl w:val="0"/>
        <w:ind w:firstLine="0" w:left="6237"/>
        <w:jc w:val="center"/>
      </w:pPr>
      <w:r>
        <w:t>от 04.07.2022</w:t>
      </w:r>
      <w:r>
        <w:t xml:space="preserve"> № 50</w:t>
      </w:r>
    </w:p>
    <w:p w14:paraId="20000000">
      <w:pPr>
        <w:widowControl w:val="0"/>
        <w:ind/>
        <w:jc w:val="both"/>
      </w:pPr>
    </w:p>
    <w:p w14:paraId="21000000">
      <w:pPr>
        <w:widowControl w:val="0"/>
        <w:ind/>
        <w:jc w:val="center"/>
      </w:pPr>
      <w:r>
        <w:t>СОСТАВ</w:t>
      </w:r>
    </w:p>
    <w:p w14:paraId="22000000">
      <w:pPr>
        <w:widowControl w:val="0"/>
        <w:ind/>
        <w:jc w:val="center"/>
      </w:pPr>
      <w:r>
        <w:t>комиссии по рассмотрению обращений о согласовании заключения контракта</w:t>
      </w:r>
      <w:r>
        <w:br/>
      </w:r>
      <w:r>
        <w:t>с единственным поставщиком (подрядчиком, исполнителем)</w:t>
      </w:r>
    </w:p>
    <w:p w14:paraId="23000000">
      <w:pPr>
        <w:ind/>
        <w:jc w:val="both"/>
      </w:pPr>
    </w:p>
    <w:tbl>
      <w:tblPr>
        <w:tblStyle w:val="Style_4"/>
        <w:tblLayout w:type="fixed"/>
      </w:tblPr>
      <w:tblGrid>
        <w:gridCol w:w="3085"/>
        <w:gridCol w:w="425"/>
        <w:gridCol w:w="6138"/>
      </w:tblGrid>
      <w:tr>
        <w:tc>
          <w:tcPr>
            <w:tcW w:type="dxa" w:w="9648"/>
            <w:gridSpan w:val="3"/>
          </w:tcPr>
          <w:p w14:paraId="2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  <w:p w14:paraId="25000000">
            <w:pPr>
              <w:pStyle w:val="Style_5"/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085"/>
          </w:tcPr>
          <w:p w14:paraId="26000000">
            <w:pPr>
              <w:pStyle w:val="Style_5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Нырненко Елена Владимировна</w:t>
            </w:r>
          </w:p>
          <w:p w14:paraId="27000000">
            <w:pPr>
              <w:pStyle w:val="Style_5"/>
              <w:spacing w:after="0" w:before="0"/>
              <w:ind/>
              <w:rPr>
                <w:sz w:val="28"/>
              </w:rPr>
            </w:pPr>
          </w:p>
        </w:tc>
        <w:tc>
          <w:tcPr>
            <w:tcW w:type="dxa" w:w="425"/>
          </w:tcPr>
          <w:p w14:paraId="28000000"/>
          <w:p w14:paraId="29000000">
            <w:r>
              <w:t>–</w:t>
            </w:r>
          </w:p>
        </w:tc>
        <w:tc>
          <w:tcPr>
            <w:tcW w:type="dxa" w:w="6138"/>
          </w:tcPr>
          <w:p w14:paraId="2A000000">
            <w:pPr>
              <w:pStyle w:val="Style_5"/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Титовского сельского поселения</w:t>
            </w:r>
          </w:p>
        </w:tc>
      </w:tr>
      <w:tr>
        <w:tc>
          <w:tcPr>
            <w:tcW w:type="dxa" w:w="9648"/>
            <w:gridSpan w:val="3"/>
          </w:tcPr>
          <w:p w14:paraId="2B000000">
            <w:pPr>
              <w:pStyle w:val="Style_5"/>
              <w:spacing w:after="0" w:before="0"/>
              <w:ind/>
              <w:jc w:val="both"/>
              <w:rPr>
                <w:sz w:val="28"/>
              </w:rPr>
            </w:pPr>
          </w:p>
          <w:p w14:paraId="2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14:paraId="2D000000">
            <w:pPr>
              <w:pStyle w:val="Style_5"/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085"/>
          </w:tcPr>
          <w:p w14:paraId="2E000000">
            <w:pPr>
              <w:pStyle w:val="Style_5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Вильховченко Елена Ивановна</w:t>
            </w:r>
          </w:p>
          <w:p w14:paraId="2F000000">
            <w:pPr>
              <w:pStyle w:val="Style_5"/>
              <w:spacing w:after="0" w:before="0"/>
              <w:ind/>
              <w:rPr>
                <w:sz w:val="28"/>
              </w:rPr>
            </w:pPr>
          </w:p>
        </w:tc>
        <w:tc>
          <w:tcPr>
            <w:tcW w:type="dxa" w:w="425"/>
          </w:tcPr>
          <w:p w14:paraId="30000000">
            <w:r>
              <w:t>–</w:t>
            </w:r>
          </w:p>
        </w:tc>
        <w:tc>
          <w:tcPr>
            <w:tcW w:type="dxa" w:w="6138"/>
          </w:tcPr>
          <w:p w14:paraId="31000000">
            <w:pPr>
              <w:pStyle w:val="Style_5"/>
              <w:spacing w:after="0" w:before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сектора экономики и финансов Администрации Титовского сельского поселения</w:t>
            </w:r>
          </w:p>
          <w:p w14:paraId="32000000">
            <w:pPr>
              <w:pStyle w:val="Style_5"/>
              <w:spacing w:after="0" w:before="0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085"/>
          </w:tcPr>
          <w:p w14:paraId="33000000">
            <w:pPr>
              <w:pStyle w:val="Style_5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Мирошниченко Юлия Александровна</w:t>
            </w:r>
          </w:p>
        </w:tc>
        <w:tc>
          <w:tcPr>
            <w:tcW w:type="dxa" w:w="425"/>
          </w:tcPr>
          <w:p w14:paraId="34000000">
            <w:r>
              <w:t>–</w:t>
            </w:r>
          </w:p>
        </w:tc>
        <w:tc>
          <w:tcPr>
            <w:tcW w:type="dxa" w:w="6138"/>
          </w:tcPr>
          <w:p w14:paraId="35000000">
            <w:pPr>
              <w:ind/>
              <w:jc w:val="both"/>
            </w:pPr>
            <w:r>
              <w:t>ведущий специалист сектора экономики и финансов</w:t>
            </w:r>
            <w:r>
              <w:t xml:space="preserve"> Администрации Титовского сельского поселения</w:t>
            </w:r>
          </w:p>
          <w:p w14:paraId="36000000">
            <w:pPr>
              <w:ind/>
              <w:jc w:val="both"/>
            </w:pPr>
          </w:p>
        </w:tc>
      </w:tr>
      <w:tr>
        <w:tc>
          <w:tcPr>
            <w:tcW w:type="dxa" w:w="3085"/>
          </w:tcPr>
          <w:p w14:paraId="37000000">
            <w:pPr>
              <w:pStyle w:val="Style_5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Дробышева Наталья Сергеевна</w:t>
            </w:r>
          </w:p>
        </w:tc>
        <w:tc>
          <w:tcPr>
            <w:tcW w:type="dxa" w:w="425"/>
          </w:tcPr>
          <w:p w14:paraId="38000000">
            <w:r>
              <w:t>–</w:t>
            </w:r>
          </w:p>
        </w:tc>
        <w:tc>
          <w:tcPr>
            <w:tcW w:type="dxa" w:w="6138"/>
          </w:tcPr>
          <w:p w14:paraId="39000000">
            <w:pPr>
              <w:ind/>
              <w:jc w:val="both"/>
            </w:pPr>
            <w:r>
              <w:t xml:space="preserve">ведущий специалист </w:t>
            </w:r>
            <w:r>
              <w:t>Администрации Титовского сельского поселения</w:t>
            </w:r>
          </w:p>
          <w:p w14:paraId="3A000000">
            <w:pPr>
              <w:ind/>
              <w:jc w:val="both"/>
            </w:pPr>
          </w:p>
        </w:tc>
      </w:tr>
      <w:tr>
        <w:tc>
          <w:tcPr>
            <w:tcW w:type="dxa" w:w="3085"/>
          </w:tcPr>
          <w:p w14:paraId="3B000000">
            <w:pPr>
              <w:pStyle w:val="Style_5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Украинская Ирина Викторовна</w:t>
            </w:r>
          </w:p>
        </w:tc>
        <w:tc>
          <w:tcPr>
            <w:tcW w:type="dxa" w:w="425"/>
          </w:tcPr>
          <w:p w14:paraId="3C000000">
            <w:r>
              <w:t>–</w:t>
            </w:r>
          </w:p>
        </w:tc>
        <w:tc>
          <w:tcPr>
            <w:tcW w:type="dxa" w:w="6138"/>
          </w:tcPr>
          <w:p w14:paraId="3D000000">
            <w:pPr>
              <w:ind/>
              <w:jc w:val="both"/>
            </w:pPr>
            <w:r>
              <w:t>ведущий специалист</w:t>
            </w:r>
            <w:r>
              <w:t xml:space="preserve"> Администрации Титовского сельского поселения</w:t>
            </w:r>
          </w:p>
          <w:p w14:paraId="3E000000">
            <w:pPr>
              <w:ind/>
              <w:jc w:val="both"/>
            </w:pPr>
          </w:p>
        </w:tc>
      </w:tr>
    </w:tbl>
    <w:p w14:paraId="3F000000">
      <w:pPr>
        <w:ind/>
        <w:jc w:val="both"/>
      </w:pPr>
    </w:p>
    <w:p w14:paraId="40000000">
      <w:pPr>
        <w:ind/>
        <w:jc w:val="both"/>
      </w:pPr>
    </w:p>
    <w:p w14:paraId="41000000">
      <w:pPr>
        <w:pageBreakBefore w:val="1"/>
        <w:widowControl w:val="0"/>
        <w:ind w:firstLine="0" w:left="6237"/>
        <w:jc w:val="center"/>
      </w:pPr>
    </w:p>
    <w:p w14:paraId="42000000">
      <w:pPr>
        <w:pageBreakBefore w:val="1"/>
        <w:widowControl w:val="0"/>
        <w:ind w:firstLine="0" w:left="6237"/>
        <w:jc w:val="center"/>
      </w:pPr>
    </w:p>
    <w:p w14:paraId="43000000">
      <w:pPr>
        <w:pageBreakBefore w:val="1"/>
        <w:widowControl w:val="0"/>
        <w:ind w:firstLine="0" w:left="6237"/>
        <w:jc w:val="center"/>
      </w:pPr>
    </w:p>
    <w:p w14:paraId="44000000">
      <w:pPr>
        <w:pageBreakBefore w:val="1"/>
        <w:widowControl w:val="0"/>
        <w:ind w:firstLine="0" w:left="6237"/>
        <w:jc w:val="center"/>
      </w:pPr>
    </w:p>
    <w:p w14:paraId="45000000">
      <w:pPr>
        <w:pageBreakBefore w:val="1"/>
        <w:widowControl w:val="0"/>
        <w:ind w:firstLine="0" w:left="6237"/>
        <w:jc w:val="center"/>
      </w:pPr>
    </w:p>
    <w:p w14:paraId="46000000">
      <w:pPr>
        <w:pageBreakBefore w:val="1"/>
        <w:widowControl w:val="0"/>
        <w:ind w:firstLine="0" w:left="6237"/>
        <w:jc w:val="center"/>
      </w:pPr>
    </w:p>
    <w:p w14:paraId="47000000">
      <w:pPr>
        <w:pageBreakBefore w:val="1"/>
        <w:widowControl w:val="0"/>
        <w:ind w:firstLine="0" w:left="6237"/>
        <w:jc w:val="center"/>
      </w:pPr>
    </w:p>
    <w:p w14:paraId="48000000">
      <w:pPr>
        <w:pageBreakBefore w:val="1"/>
        <w:widowControl w:val="0"/>
        <w:ind w:firstLine="0" w:left="6237"/>
        <w:jc w:val="center"/>
      </w:pPr>
    </w:p>
    <w:p w14:paraId="49000000">
      <w:pPr>
        <w:pageBreakBefore w:val="1"/>
        <w:widowControl w:val="0"/>
        <w:ind w:firstLine="0" w:left="6237"/>
        <w:jc w:val="center"/>
      </w:pPr>
    </w:p>
    <w:p w14:paraId="4A000000">
      <w:pPr>
        <w:pageBreakBefore w:val="1"/>
        <w:widowControl w:val="0"/>
        <w:ind w:firstLine="0" w:left="6237"/>
        <w:jc w:val="center"/>
      </w:pPr>
    </w:p>
    <w:p w14:paraId="4B000000">
      <w:pPr>
        <w:pageBreakBefore w:val="1"/>
        <w:widowControl w:val="0"/>
        <w:ind w:firstLine="0" w:left="6237"/>
        <w:jc w:val="center"/>
      </w:pPr>
    </w:p>
    <w:p w14:paraId="4C000000">
      <w:pPr>
        <w:pageBreakBefore w:val="1"/>
        <w:widowControl w:val="0"/>
        <w:ind w:firstLine="0" w:left="6237"/>
        <w:jc w:val="center"/>
      </w:pPr>
    </w:p>
    <w:p w14:paraId="4D000000">
      <w:pPr>
        <w:pageBreakBefore w:val="1"/>
        <w:widowControl w:val="0"/>
        <w:ind w:firstLine="0" w:left="6237"/>
        <w:jc w:val="center"/>
      </w:pPr>
      <w:r>
        <w:t xml:space="preserve">Приложение № </w:t>
      </w:r>
      <w:r>
        <w:t>2</w:t>
      </w:r>
      <w:r>
        <w:t xml:space="preserve"> </w:t>
      </w:r>
    </w:p>
    <w:p w14:paraId="4E000000">
      <w:pPr>
        <w:widowControl w:val="0"/>
        <w:ind w:firstLine="0" w:left="6237"/>
        <w:jc w:val="center"/>
      </w:pPr>
      <w:r>
        <w:t>к постановлению</w:t>
      </w:r>
    </w:p>
    <w:p w14:paraId="4F000000">
      <w:pPr>
        <w:widowControl w:val="0"/>
        <w:ind w:firstLine="0" w:left="6237"/>
        <w:jc w:val="center"/>
      </w:pPr>
      <w:r>
        <w:t>Администрации</w:t>
      </w:r>
      <w:r>
        <w:t xml:space="preserve"> Титовского</w:t>
      </w:r>
      <w:r>
        <w:t xml:space="preserve"> </w:t>
      </w:r>
      <w:r>
        <w:t>сельского поселения</w:t>
      </w:r>
    </w:p>
    <w:p w14:paraId="50000000">
      <w:pPr>
        <w:widowControl w:val="0"/>
        <w:ind w:firstLine="0" w:left="6237"/>
        <w:jc w:val="center"/>
      </w:pPr>
      <w:r>
        <w:t>от 04.07.2022</w:t>
      </w:r>
      <w:r>
        <w:t xml:space="preserve"> № 50</w:t>
      </w:r>
    </w:p>
    <w:p w14:paraId="51000000">
      <w:pPr>
        <w:pageBreakBefore w:val="1"/>
        <w:widowControl w:val="0"/>
        <w:ind w:firstLine="0" w:left="6237"/>
        <w:jc w:val="center"/>
      </w:pPr>
    </w:p>
    <w:p w14:paraId="52000000">
      <w:pPr>
        <w:widowControl w:val="0"/>
        <w:spacing w:line="228" w:lineRule="auto"/>
        <w:ind/>
        <w:jc w:val="center"/>
      </w:pPr>
    </w:p>
    <w:p w14:paraId="53000000">
      <w:pPr>
        <w:widowControl w:val="0"/>
        <w:spacing w:line="228" w:lineRule="auto"/>
        <w:ind/>
        <w:jc w:val="center"/>
      </w:pPr>
      <w:r>
        <w:t>ПОЛОЖЕНИЕ</w:t>
      </w:r>
    </w:p>
    <w:p w14:paraId="54000000">
      <w:pPr>
        <w:widowControl w:val="0"/>
        <w:ind/>
        <w:jc w:val="center"/>
      </w:pPr>
      <w:r>
        <w:t>о комиссии по рассмотрению обращений о согласовании заключения контракта</w:t>
      </w:r>
    </w:p>
    <w:p w14:paraId="55000000">
      <w:pPr>
        <w:widowControl w:val="0"/>
        <w:ind/>
        <w:jc w:val="center"/>
      </w:pPr>
      <w:r>
        <w:t>с единственным поставщиком (подрядчиком, исполнителем)</w:t>
      </w:r>
    </w:p>
    <w:p w14:paraId="56000000">
      <w:pPr>
        <w:widowControl w:val="0"/>
        <w:spacing w:line="228" w:lineRule="auto"/>
        <w:ind/>
        <w:jc w:val="center"/>
      </w:pPr>
    </w:p>
    <w:p w14:paraId="57000000">
      <w:pPr>
        <w:widowControl w:val="0"/>
        <w:numPr>
          <w:ilvl w:val="0"/>
          <w:numId w:val="1"/>
        </w:numPr>
        <w:spacing w:line="228" w:lineRule="auto"/>
        <w:ind/>
        <w:jc w:val="center"/>
      </w:pPr>
      <w:r>
        <w:t>Общие положения</w:t>
      </w:r>
    </w:p>
    <w:p w14:paraId="58000000">
      <w:pPr>
        <w:widowControl w:val="0"/>
        <w:spacing w:line="228" w:lineRule="auto"/>
        <w:ind w:firstLine="0" w:left="720"/>
      </w:pPr>
    </w:p>
    <w:p w14:paraId="59000000">
      <w:pPr>
        <w:pStyle w:val="Style_6"/>
        <w:ind w:firstLine="709" w:left="0"/>
        <w:jc w:val="both"/>
        <w:rPr>
          <w:rFonts w:ascii="Times New Roman" w:hAnsi="Times New Roman"/>
          <w:b w:val="0"/>
          <w:sz w:val="28"/>
        </w:rPr>
      </w:pPr>
      <w:bookmarkStart w:id="1" w:name="_Ref165269325"/>
      <w:bookmarkEnd w:id="1"/>
      <w:r>
        <w:rPr>
          <w:rFonts w:ascii="Times New Roman" w:hAnsi="Times New Roman"/>
          <w:b w:val="0"/>
          <w:sz w:val="28"/>
        </w:rPr>
        <w:t>1.1. Настоящее Положение о комиссии по рассмотрению обращений о согласовании заключения контракта с единственным поставщиком (подрядчиком, исполнителем) (далее – Положение) разработано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30.06.2020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 аукциона несостоявшимися осуществляется по согласованию с контрольным органом в сфере закупок товаров, работ, услуг для обеспечения государственных 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заключения контракта с  единственным поставщиком (подрядчиком, исполнителем) и о внесении изменений в некоторые акты Правительства Российской Федерации» (далее - постановление Правительства Российской Федерации от 30.06.2020 № 961). Положение регламентирует отношения в сфере организации работы комиссии по рассмотрению обращений о согласовании заключения контракта с единственным поставщиком (подрядчиком, исполнителем) (далее – Комиссия</w:t>
      </w:r>
      <w:r>
        <w:rPr>
          <w:rFonts w:ascii="Times New Roman" w:hAnsi="Times New Roman"/>
          <w:b w:val="0"/>
          <w:sz w:val="28"/>
        </w:rPr>
        <w:t>).</w:t>
      </w:r>
    </w:p>
    <w:p w14:paraId="5A000000">
      <w:pPr>
        <w:ind w:firstLine="709" w:left="0"/>
        <w:contextualSpacing w:val="1"/>
        <w:jc w:val="both"/>
      </w:pPr>
      <w:r>
        <w:t xml:space="preserve">1.2. Комиссия в своей деятельности руководствуется Конституцией Российской Федерации, Гражданским кодексом Российской Федерации, Федеральным законом, другими федеральными законами и иными </w:t>
      </w:r>
      <w:r>
        <w:t>нормативными правовыми актами Российской Федерации, настоящим Положением.</w:t>
      </w:r>
    </w:p>
    <w:p w14:paraId="5B000000">
      <w:pPr>
        <w:ind w:firstLine="709" w:left="0"/>
        <w:contextualSpacing w:val="1"/>
        <w:jc w:val="both"/>
      </w:pPr>
    </w:p>
    <w:p w14:paraId="5C000000">
      <w:pPr>
        <w:widowControl w:val="0"/>
        <w:ind/>
        <w:jc w:val="center"/>
      </w:pPr>
      <w:r>
        <w:t>Порядок формирования Комиссии</w:t>
      </w:r>
    </w:p>
    <w:p w14:paraId="5D000000">
      <w:pPr>
        <w:widowControl w:val="0"/>
        <w:ind w:firstLine="0" w:left="720"/>
      </w:pPr>
    </w:p>
    <w:p w14:paraId="5E000000">
      <w:pPr>
        <w:widowControl w:val="0"/>
        <w:ind w:firstLine="709" w:left="0"/>
        <w:jc w:val="both"/>
      </w:pPr>
      <w:r>
        <w:t>2.1. В целях рассмотрения обращений муниципальных заказчиков (далее –</w:t>
      </w:r>
      <w:r>
        <w:t xml:space="preserve"> </w:t>
      </w:r>
      <w:r>
        <w:t>заказчик, заявитель) о согласовании заключения контракта с единственным поставщиком (подрядчиком, исполнителем) создается коллегиальный орган – Комиссия. Комиссия создается на постоянной основе.</w:t>
      </w:r>
    </w:p>
    <w:p w14:paraId="5F000000">
      <w:pPr>
        <w:widowControl w:val="0"/>
        <w:ind w:firstLine="709" w:left="0"/>
        <w:jc w:val="both"/>
      </w:pPr>
      <w:r>
        <w:t>2.2.</w:t>
      </w:r>
      <w:r>
        <w:t> </w:t>
      </w:r>
      <w:r>
        <w:t>Задачей Комиссии является соблюдение требований законодательства в сфере закупок товаров, работ, услуг при заключении контракта с единственным поставщиком (подрядчиком, исполнителем) при осуществлении закупки для обеспечения муниципальных нужд.</w:t>
      </w:r>
    </w:p>
    <w:p w14:paraId="60000000">
      <w:pPr>
        <w:widowControl w:val="0"/>
        <w:ind w:firstLine="709" w:left="0"/>
        <w:jc w:val="both"/>
      </w:pPr>
      <w:r>
        <w:t>2.3. Состав Комиссии утверждается постановлением Администрации Миллеровского района.</w:t>
      </w:r>
    </w:p>
    <w:p w14:paraId="61000000">
      <w:pPr>
        <w:widowControl w:val="0"/>
        <w:ind w:firstLine="709" w:left="0"/>
        <w:jc w:val="both"/>
      </w:pPr>
      <w:r>
        <w:t xml:space="preserve">2.4. Комиссию возглавляет руководитель контрольного органа в сфере закупок товаров, работ, услуг для обеспечения муниципальных нужд </w:t>
      </w:r>
    </w:p>
    <w:p w14:paraId="62000000">
      <w:pPr>
        <w:widowControl w:val="0"/>
        <w:ind w:firstLine="709" w:left="0"/>
        <w:jc w:val="both"/>
      </w:pPr>
      <w:r>
        <w:t>2.5. В отсутствии председателя комиссии его полномочия осуществляет заместитель председателя Комиссии.</w:t>
      </w:r>
    </w:p>
    <w:p w14:paraId="63000000">
      <w:pPr>
        <w:widowControl w:val="0"/>
        <w:ind w:firstLine="709" w:left="0"/>
        <w:jc w:val="both"/>
      </w:pPr>
      <w:r>
        <w:t>2.6. В состав Комиссии должно входить не менее пяти человек.</w:t>
      </w:r>
    </w:p>
    <w:p w14:paraId="64000000">
      <w:pPr>
        <w:widowControl w:val="0"/>
        <w:ind w:firstLine="709" w:left="0"/>
        <w:jc w:val="both"/>
      </w:pPr>
      <w:r>
        <w:t>2.7.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14:paraId="65000000">
      <w:pPr>
        <w:widowControl w:val="0"/>
        <w:ind w:firstLine="709" w:left="0"/>
        <w:jc w:val="both"/>
      </w:pPr>
    </w:p>
    <w:p w14:paraId="66000000">
      <w:pPr>
        <w:numPr>
          <w:ilvl w:val="0"/>
          <w:numId w:val="2"/>
        </w:numPr>
        <w:ind/>
        <w:jc w:val="center"/>
      </w:pPr>
      <w:r>
        <w:t>Действия заказчика</w:t>
      </w:r>
    </w:p>
    <w:p w14:paraId="67000000">
      <w:pPr>
        <w:ind w:firstLine="0" w:left="720"/>
      </w:pPr>
    </w:p>
    <w:p w14:paraId="68000000">
      <w:pPr>
        <w:ind w:firstLine="709" w:left="0"/>
        <w:jc w:val="both"/>
      </w:pPr>
      <w:r>
        <w:t>3.1.</w:t>
      </w:r>
      <w:r>
        <w:t> </w:t>
      </w:r>
      <w:r>
        <w:t>Заказчик обязан согласовать с контрольным органом в сфере закупок товаров, работ, услуг для обеспе</w:t>
      </w:r>
      <w:r>
        <w:t xml:space="preserve">чения муниципальных нужд (далее – </w:t>
      </w:r>
      <w:r>
        <w:t>контрольный орган в сфере закупок)заключение контракта, в случае, если предельный размер (предельные размеры) начальной (максимальной) цены контракта, при превышении которого заключение контракта с единственным поставщиком (подрядчиком, исполнителем) требуется согласование контрольного органа в сфере закупок, составляет:</w:t>
      </w:r>
    </w:p>
    <w:p w14:paraId="69000000">
      <w:pPr>
        <w:ind/>
        <w:jc w:val="both"/>
      </w:pPr>
      <w:r>
        <w:tab/>
      </w:r>
      <w:r>
        <w:t xml:space="preserve">250 млн. рублей </w:t>
      </w:r>
      <w:r>
        <w:t>–</w:t>
      </w:r>
      <w:r>
        <w:t xml:space="preserve"> при осуществлении закупки для обеспечения муниципальных нужд (за исключением признания открытого конкурса в электронной форме, открытого аукциона в электронной форме несостоявшимися в случаях, предусмотренных пунктами 3 - 6 части 1 статьи 52 Федерального закона) ;</w:t>
      </w:r>
    </w:p>
    <w:p w14:paraId="6A000000">
      <w:pPr>
        <w:ind/>
        <w:jc w:val="both"/>
      </w:pPr>
      <w:r>
        <w:tab/>
      </w:r>
      <w:r>
        <w:t xml:space="preserve">1 тыс. рублей </w:t>
      </w:r>
      <w:r>
        <w:t>–</w:t>
      </w:r>
      <w:r>
        <w:t xml:space="preserve"> при признании открытого конкурса в электронной форме, открытого аукциона в электронной форме несостоявшимися в случаях, предусмотренных пунктами 3 - 6 части 1 статьи 52 Федерального закона.</w:t>
      </w:r>
    </w:p>
    <w:p w14:paraId="6B000000">
      <w:pPr>
        <w:ind w:firstLine="709" w:left="0"/>
        <w:jc w:val="both"/>
      </w:pPr>
      <w:r>
        <w:t>3.2.</w:t>
      </w:r>
      <w:r>
        <w:t> </w:t>
      </w:r>
      <w:r>
        <w:t xml:space="preserve">Для получения согласования возможности заключения муниципального контракта с единственным поставщиком (исполнителем, подрядчиком) в соответствии с пунктом 25 части 1 статьи 93 Федерального </w:t>
      </w:r>
      <w:r>
        <w:t>закона заказчик направляет в контрольный орган в сфере закупок – Администрацию Миллеровского района обращение, сформированное в соответствии с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утвержденными постановлением Правительства Российской Федерации от 30.06.2020 № 961.</w:t>
      </w:r>
    </w:p>
    <w:p w14:paraId="6C000000">
      <w:pPr>
        <w:ind w:firstLine="709" w:left="0"/>
        <w:jc w:val="both"/>
        <w:rPr>
          <w:b w:val="1"/>
        </w:rPr>
      </w:pPr>
      <w:r>
        <w:rPr>
          <w:spacing w:val="2"/>
        </w:rPr>
        <w:t xml:space="preserve">3.3. Обращение о согласовании заключения контракта с единственным поставщиком (подрядчиком, исполнителем)должно содержать информацию и документы, установленные </w:t>
      </w:r>
      <w:r>
        <w:t>постановлением Правительства Р</w:t>
      </w:r>
      <w:r>
        <w:t xml:space="preserve">оссийской </w:t>
      </w:r>
      <w:r>
        <w:t>Ф</w:t>
      </w:r>
      <w:r>
        <w:t xml:space="preserve">едерации </w:t>
      </w:r>
      <w:r>
        <w:t>от 30.06.2020 № 961.</w:t>
      </w:r>
    </w:p>
    <w:p w14:paraId="6D000000">
      <w:pPr>
        <w:widowControl w:val="0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К обращению также прилагаются иные документы, если они имеют значение для рассмотрения обращения. </w:t>
      </w:r>
    </w:p>
    <w:p w14:paraId="6E000000">
      <w:pPr>
        <w:ind w:firstLine="709" w:left="0"/>
        <w:jc w:val="both"/>
      </w:pPr>
      <w:r>
        <w:t xml:space="preserve">3.5. В случае необходимости согласования одним заказчиком возможности заключения муниципального контракта с единственным поставщиком (исполнителем, подрядчиком) по нескольким закупкам, заказчик направляет отдельное обращение о необходимости согласования с полным комплектом сопутствующих документов по каждой закупке. </w:t>
      </w:r>
    </w:p>
    <w:p w14:paraId="6F000000">
      <w:pPr>
        <w:ind w:firstLine="709" w:left="0"/>
        <w:jc w:val="both"/>
      </w:pPr>
      <w:r>
        <w:t>3.6.</w:t>
      </w:r>
      <w:r>
        <w:t> </w:t>
      </w:r>
      <w:r>
        <w:t xml:space="preserve">Обращение для получения согласования заключения муниципального контракта с единственным поставщиком (исполнителем, подрядчиком) направляется заказчиком в срок не позднее чем через пять дней с даты размещения в единой информационной системе соответствующих протоколов, содержащих информацию о признании определения поставщика (исполнителя, подрядчика) несостоявшимся. </w:t>
      </w:r>
    </w:p>
    <w:p w14:paraId="70000000">
      <w:pPr>
        <w:spacing w:afterAutospacing="on" w:beforeAutospacing="on"/>
        <w:ind w:firstLine="709" w:left="0"/>
        <w:jc w:val="both"/>
        <w:rPr>
          <w:color w:val="2D2D2D"/>
          <w:spacing w:val="2"/>
          <w:sz w:val="28"/>
        </w:rPr>
      </w:pPr>
    </w:p>
    <w:p w14:paraId="71000000">
      <w:pPr>
        <w:numPr>
          <w:ilvl w:val="0"/>
          <w:numId w:val="2"/>
        </w:numPr>
        <w:ind/>
        <w:jc w:val="center"/>
      </w:pPr>
      <w:r>
        <w:t xml:space="preserve">Действия Комиссии </w:t>
      </w:r>
    </w:p>
    <w:p w14:paraId="72000000">
      <w:pPr>
        <w:ind w:firstLine="0" w:left="720"/>
      </w:pPr>
    </w:p>
    <w:p w14:paraId="73000000">
      <w:pPr>
        <w:ind w:firstLine="709" w:left="0"/>
        <w:jc w:val="both"/>
      </w:pPr>
      <w:r>
        <w:t>4.1.</w:t>
      </w:r>
      <w:r>
        <w:t> </w:t>
      </w:r>
      <w:r>
        <w:t>Обращение о согласовании возможности заключения муниципального контракта подлежит регистрации в день поступления в контрольный орган в порядке, установленном инструкцией по делопроизводству.</w:t>
      </w:r>
    </w:p>
    <w:p w14:paraId="74000000">
      <w:pPr>
        <w:widowControl w:val="0"/>
        <w:ind w:firstLine="709" w:left="0"/>
        <w:jc w:val="both"/>
        <w:rPr>
          <w:b w:val="1"/>
          <w:i w:val="1"/>
        </w:rPr>
      </w:pPr>
      <w:r>
        <w:t>4.2.</w:t>
      </w:r>
      <w:r>
        <w:t> </w:t>
      </w:r>
      <w:r>
        <w:t xml:space="preserve">Срок рассмотрения обращения о согласовании возможности заключения контракта с единственным поставщиком (исполнителем, подрядчиком) не должен быть более чем десять рабочих дней со дня поступления обращения заявителя. </w:t>
      </w:r>
    </w:p>
    <w:p w14:paraId="75000000">
      <w:pPr>
        <w:widowControl w:val="0"/>
        <w:ind w:firstLine="709" w:left="0"/>
        <w:jc w:val="both"/>
        <w:rPr>
          <w:b w:val="1"/>
        </w:rPr>
      </w:pPr>
      <w:r>
        <w:t>4.3.</w:t>
      </w:r>
      <w:r>
        <w:t> </w:t>
      </w:r>
      <w:r>
        <w:t xml:space="preserve">Течение срока рассмотрения обращения приостанавливается в случае непредставления документов или информации, предусмотренных постановлением Правительства РФ от 30.06.2020 № 961, и направления в связи с этим заявителю запроса о предоставлении информации (документов) с установлением срока их представления, по истечении которого обращение подлежит дальнейшему рассмотрению.    </w:t>
      </w:r>
    </w:p>
    <w:p w14:paraId="76000000">
      <w:pPr>
        <w:widowControl w:val="0"/>
        <w:ind w:firstLine="709" w:left="0"/>
        <w:jc w:val="both"/>
      </w:pPr>
      <w:r>
        <w:t>4.4. Комиссия проверяет полноту представленных в составе обращения документов.</w:t>
      </w:r>
    </w:p>
    <w:p w14:paraId="77000000">
      <w:pPr>
        <w:widowControl w:val="0"/>
        <w:ind w:firstLine="709" w:left="0"/>
        <w:jc w:val="both"/>
      </w:pPr>
      <w:r>
        <w:t xml:space="preserve">В случае непредставления заявителем документов или информации, установленных действующим законодательством о контрактной системе в </w:t>
      </w:r>
      <w:r>
        <w:t xml:space="preserve">сфере закупок, Комиссия дополнительно запрашивает у заявителя недостающую информацию и/или документы, которые должны быть представлены в установленный срок. </w:t>
      </w:r>
    </w:p>
    <w:p w14:paraId="78000000">
      <w:pPr>
        <w:ind w:firstLine="709" w:left="0"/>
      </w:pPr>
      <w:r>
        <w:t>4.5. В случае непредставления заказчиком запрошенной информации и документов обращение не рассматривается.</w:t>
      </w:r>
    </w:p>
    <w:p w14:paraId="79000000">
      <w:pPr>
        <w:widowControl w:val="0"/>
        <w:ind w:firstLine="709" w:left="0"/>
        <w:jc w:val="both"/>
      </w:pPr>
      <w:r>
        <w:t xml:space="preserve">4.6. Комиссия рассматривает представленное заявителем обращение и приложенные к нему документы на предмет соответствия требованиям действующего законодательства о контрактной системе в сфере закупок и настоящим Положением. </w:t>
      </w:r>
    </w:p>
    <w:p w14:paraId="7A000000">
      <w:pPr>
        <w:ind w:firstLine="709" w:left="0"/>
        <w:jc w:val="both"/>
      </w:pPr>
      <w:r>
        <w:t>4.7.</w:t>
      </w:r>
      <w:r>
        <w:t> </w:t>
      </w:r>
      <w:r>
        <w:t>Комиссия принимает решение о согласовании заключения контракта с единственным поставщиком (подрядчиком, исполнителем</w:t>
      </w:r>
      <w:r>
        <w:t>) либо об отказе в согласовании заключения контракта с единственным поставщиком (подрядчиком, исполнителем). Такой отказ возможен в случае выявления при проведении внеплановой проверки:</w:t>
      </w:r>
    </w:p>
    <w:p w14:paraId="7B000000">
      <w:pPr>
        <w:ind w:firstLine="709" w:left="0"/>
        <w:jc w:val="both"/>
      </w:pPr>
      <w:r>
        <w:t xml:space="preserve">а) выбора способа определения поставщика (подрядчика, исполнителя) с нарушением </w:t>
      </w:r>
      <w:r>
        <w:rPr>
          <w:color w:val="000000"/>
        </w:rPr>
        <w:fldChar w:fldCharType="begin"/>
      </w:r>
      <w:r>
        <w:rPr>
          <w:color w:val="000000"/>
        </w:rPr>
        <w:instrText>HYPERLINK "garantF1://70253464.2"</w:instrText>
      </w:r>
      <w:r>
        <w:rPr>
          <w:color w:val="000000"/>
        </w:rPr>
        <w:fldChar w:fldCharType="separate"/>
      </w:r>
      <w:r>
        <w:rPr>
          <w:color w:val="000000"/>
        </w:rPr>
        <w:t>законодательства</w:t>
      </w:r>
      <w:r>
        <w:rPr>
          <w:color w:val="000000"/>
        </w:rPr>
        <w:fldChar w:fldCharType="end"/>
      </w:r>
      <w:r>
        <w:t xml:space="preserve"> Российской Федерации и иных нормативных правовых актов о контрактной системе в сфере закупок;</w:t>
      </w:r>
    </w:p>
    <w:p w14:paraId="7C000000">
      <w:pPr>
        <w:ind w:firstLine="709" w:left="0"/>
        <w:jc w:val="both"/>
      </w:pPr>
      <w:r>
        <w:t>б) описания объекта закупки, влекущего ограничение количества участников закупки;</w:t>
      </w:r>
    </w:p>
    <w:p w14:paraId="7D000000">
      <w:pPr>
        <w:ind w:firstLine="709" w:left="0"/>
        <w:jc w:val="both"/>
      </w:pPr>
      <w:r>
        <w:t xml:space="preserve">в) установления требований к участникам закупки с нарушением </w:t>
      </w:r>
      <w:r>
        <w:rPr>
          <w:color w:val="000000"/>
        </w:rPr>
        <w:fldChar w:fldCharType="begin"/>
      </w:r>
      <w:r>
        <w:rPr>
          <w:color w:val="000000"/>
        </w:rPr>
        <w:instrText>HYPERLINK "garantF1://70253464.2"</w:instrText>
      </w:r>
      <w:r>
        <w:rPr>
          <w:color w:val="000000"/>
        </w:rPr>
        <w:fldChar w:fldCharType="separate"/>
      </w:r>
      <w:r>
        <w:rPr>
          <w:color w:val="000000"/>
        </w:rPr>
        <w:t>законодательства</w:t>
      </w:r>
      <w:r>
        <w:rPr>
          <w:color w:val="000000"/>
        </w:rPr>
        <w:fldChar w:fldCharType="end"/>
      </w:r>
      <w:r>
        <w:t xml:space="preserve"> Российской Федерации и иных нормативных правовых актов о контрактной системе в сфере закупок;</w:t>
      </w:r>
    </w:p>
    <w:p w14:paraId="7E000000">
      <w:pPr>
        <w:ind w:firstLine="709" w:left="0"/>
        <w:jc w:val="both"/>
      </w:pPr>
      <w:r>
        <w:t xml:space="preserve">г) сокращения предусмотренного </w:t>
      </w:r>
      <w:r>
        <w:rPr>
          <w:color w:val="000000"/>
        </w:rPr>
        <w:fldChar w:fldCharType="begin"/>
      </w:r>
      <w:r>
        <w:rPr>
          <w:color w:val="000000"/>
        </w:rPr>
        <w:instrText>HYPERLINK "garantF1://70253464.0"</w:instrText>
      </w:r>
      <w:r>
        <w:rPr>
          <w:color w:val="000000"/>
        </w:rPr>
        <w:fldChar w:fldCharType="separate"/>
      </w:r>
      <w:r>
        <w:rPr>
          <w:color w:val="000000"/>
        </w:rPr>
        <w:t>Федеральным законом</w:t>
      </w:r>
      <w:r>
        <w:rPr>
          <w:color w:val="000000"/>
        </w:rPr>
        <w:fldChar w:fldCharType="end"/>
      </w:r>
      <w:r>
        <w:t xml:space="preserve"> срока подачи заявок на участие в закупке;</w:t>
      </w:r>
    </w:p>
    <w:p w14:paraId="7F000000">
      <w:pPr>
        <w:ind w:firstLine="709" w:left="0"/>
        <w:jc w:val="both"/>
      </w:pPr>
      <w:r>
        <w:t>д) отклонения заявки на участие в закупке либо ее части, признания заявки на участие в закупке либо ее части не соответствующими требованиям извещения об осуществлении закупки и документации о закупке, а также приглашения принять участие в определении поставщика (подрядчика, исполнителя), отказа в допуске к участию в определении поставщика (подрядчика, исполнителя) с нарушением законодательства Российской Федерации и иных нормативных правовых актов о контрактной системе в сфере закупок;</w:t>
      </w:r>
    </w:p>
    <w:p w14:paraId="80000000">
      <w:pPr>
        <w:ind w:firstLine="709" w:left="0"/>
        <w:jc w:val="both"/>
      </w:pPr>
      <w:r>
        <w:t>е) несоответствия заявки на участие в закупке, поданной единственным поставщиком (подрядчиком, исполнителем), требованиям извещения об осуществлении закупки (если Федеральным законом предусмотрено извещение об осуществлении закупки) и документации о закупке (если Федеральным законом предусмотрена документация о закупке), а также приглашения принять участие в определении поставщика (подрядчика, исполнителя) (если Федеральным законом предусмотрено приглашение принять участие в определении поставщика (подрядчика, исполнителя);</w:t>
      </w:r>
    </w:p>
    <w:p w14:paraId="81000000">
      <w:pPr>
        <w:ind w:firstLine="709" w:left="0"/>
        <w:jc w:val="both"/>
      </w:pPr>
      <w:r>
        <w:t xml:space="preserve">ж) несоответствия единственного поставщика (подрядчика, исполнителя), требованиям, установленным в извещении об осуществлении закупки (если Федеральным законом предусмотрено извещение об осуществлении закупки) и документации о закупке (если Федеральным законом предусмотрена документация о закупке), а также приглашения </w:t>
      </w:r>
      <w:r>
        <w:t>принять участие в определении поставщика (подрядчика, исполнителя) (если Федеральным законом предусмотрено приглашение принять участие в определении поставщика (подрядчика, исполнителя) в соответствии с частью 1, частями 1 1, 2 и 2 1 (при наличии таких требований) статьи 31 Федерального закона.</w:t>
      </w:r>
    </w:p>
    <w:p w14:paraId="82000000">
      <w:pPr>
        <w:widowControl w:val="0"/>
        <w:ind w:firstLine="709" w:left="0"/>
        <w:jc w:val="both"/>
      </w:pPr>
      <w:r>
        <w:t>4.8. Секретарь комиссия по результатам рассмотрения обращения о согласовании подготавливает</w:t>
      </w:r>
      <w:r>
        <w:t xml:space="preserve"> в письменном виде ответ на обращение, который подписывается членами Комиссии и передается для подписания руководителю контрольного органа в сфере закупок.</w:t>
      </w:r>
    </w:p>
    <w:p w14:paraId="83000000">
      <w:pPr>
        <w:widowControl w:val="0"/>
        <w:ind w:firstLine="709" w:left="0"/>
        <w:jc w:val="both"/>
      </w:pPr>
    </w:p>
    <w:p w14:paraId="84000000">
      <w:pPr>
        <w:widowControl w:val="0"/>
        <w:numPr>
          <w:ilvl w:val="0"/>
          <w:numId w:val="2"/>
        </w:numPr>
        <w:ind/>
        <w:jc w:val="center"/>
        <w:outlineLvl w:val="1"/>
      </w:pPr>
      <w:r>
        <w:t>Порядок проведения заседания Комиссии</w:t>
      </w:r>
    </w:p>
    <w:p w14:paraId="85000000">
      <w:pPr>
        <w:widowControl w:val="0"/>
        <w:ind w:firstLine="0" w:left="720"/>
        <w:outlineLvl w:val="1"/>
      </w:pPr>
    </w:p>
    <w:p w14:paraId="86000000">
      <w:pPr>
        <w:widowControl w:val="0"/>
        <w:ind w:firstLine="709" w:left="0"/>
        <w:jc w:val="both"/>
      </w:pPr>
      <w:r>
        <w:t>5.1. Заседания Комиссии проводятся по мере необходимости. Принимать решение путем проведения заочного голосования, а также делегировать свои полномочия другим лицам не допускается.</w:t>
      </w:r>
    </w:p>
    <w:p w14:paraId="87000000">
      <w:pPr>
        <w:widowControl w:val="0"/>
        <w:ind w:firstLine="709" w:left="0"/>
        <w:jc w:val="both"/>
      </w:pPr>
      <w:r>
        <w:t>5.2. Решения, которые принимает Комиссия по результатам своих заседаний, являются обязательными для всех участников закупки. Они могут быть обжалованы любым участником только в порядке, установленном действующем законодательством.</w:t>
      </w:r>
    </w:p>
    <w:p w14:paraId="88000000">
      <w:pPr>
        <w:widowControl w:val="0"/>
        <w:tabs>
          <w:tab w:leader="none" w:pos="0" w:val="left"/>
        </w:tabs>
        <w:ind/>
        <w:jc w:val="both"/>
      </w:pPr>
    </w:p>
    <w:p w14:paraId="89000000">
      <w:pPr>
        <w:widowControl w:val="0"/>
        <w:tabs>
          <w:tab w:leader="none" w:pos="0" w:val="left"/>
        </w:tabs>
        <w:ind/>
        <w:jc w:val="both"/>
      </w:pPr>
    </w:p>
    <w:p w14:paraId="8A000000">
      <w:pPr>
        <w:widowControl w:val="0"/>
        <w:tabs>
          <w:tab w:leader="none" w:pos="0" w:val="left"/>
        </w:tabs>
        <w:ind/>
        <w:jc w:val="both"/>
      </w:pPr>
    </w:p>
    <w:p w14:paraId="8B000000">
      <w:pPr>
        <w:widowControl w:val="0"/>
        <w:tabs>
          <w:tab w:leader="none" w:pos="0" w:val="left"/>
        </w:tabs>
        <w:ind/>
        <w:jc w:val="both"/>
      </w:pPr>
      <w:bookmarkStart w:id="2" w:name="_GoBack"/>
      <w:bookmarkEnd w:id="2"/>
    </w:p>
    <w:sectPr>
      <w:footerReference r:id="rId1" w:type="default"/>
      <w:pgSz w:h="16838" w:orient="portrait" w:w="11906"/>
      <w:pgMar w:bottom="1134" w:footer="391" w:gutter="0" w:header="709" w:left="1276" w:right="849" w:top="67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Body Text Indent 3"/>
    <w:basedOn w:val="Style_7"/>
    <w:link w:val="Style_8_ch"/>
    <w:pPr>
      <w:spacing w:line="320" w:lineRule="atLeast"/>
      <w:ind w:hanging="420" w:left="420"/>
      <w:jc w:val="both"/>
    </w:pPr>
  </w:style>
  <w:style w:styleId="Style_8_ch" w:type="character">
    <w:name w:val="Body Text Indent 3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5" w:type="paragraph">
    <w:name w:val="Normal (Web)"/>
    <w:basedOn w:val="Style_7"/>
    <w:link w:val="Style_5_ch"/>
    <w:pPr>
      <w:spacing w:after="20" w:before="20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Calibri" w:hAnsi="Calibri"/>
      <w:b w:val="1"/>
      <w:sz w:val="22"/>
    </w:rPr>
  </w:style>
  <w:style w:styleId="Style_6_ch" w:type="character">
    <w:name w:val="ConsPlusTitle"/>
    <w:link w:val="Style_6"/>
    <w:rPr>
      <w:rFonts w:ascii="Calibri" w:hAnsi="Calibri"/>
      <w:b w:val="1"/>
      <w:sz w:val="22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Таблицы (моноширинный)"/>
    <w:basedOn w:val="Style_7"/>
    <w:next w:val="Style_7"/>
    <w:link w:val="Style_13_ch"/>
    <w:pPr>
      <w:widowControl w:val="0"/>
      <w:ind/>
      <w:jc w:val="both"/>
    </w:pPr>
    <w:rPr>
      <w:rFonts w:ascii="Courier New" w:hAnsi="Courier New"/>
      <w:sz w:val="20"/>
    </w:rPr>
  </w:style>
  <w:style w:styleId="Style_13_ch" w:type="character">
    <w:name w:val="Таблицы (моноширинный)"/>
    <w:basedOn w:val="Style_7_ch"/>
    <w:link w:val="Style_13"/>
    <w:rPr>
      <w:rFonts w:ascii="Courier New" w:hAnsi="Courier New"/>
      <w:sz w:val="20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Postan"/>
    <w:basedOn w:val="Style_7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7_ch"/>
    <w:link w:val="Style_15"/>
    <w:rPr>
      <w:sz w:val="28"/>
    </w:rPr>
  </w:style>
  <w:style w:styleId="Style_16" w:type="paragraph">
    <w:name w:val="Body Text 2"/>
    <w:basedOn w:val="Style_7"/>
    <w:link w:val="Style_16_ch"/>
    <w:pPr>
      <w:ind w:right="6111"/>
    </w:pPr>
    <w:rPr>
      <w:sz w:val="28"/>
    </w:rPr>
  </w:style>
  <w:style w:styleId="Style_16_ch" w:type="character">
    <w:name w:val="Body Text 2"/>
    <w:basedOn w:val="Style_7_ch"/>
    <w:link w:val="Style_16"/>
    <w:rPr>
      <w:sz w:val="28"/>
    </w:rPr>
  </w:style>
  <w:style w:styleId="Style_17" w:type="paragraph">
    <w:name w:val="heading 3"/>
    <w:basedOn w:val="Style_7"/>
    <w:next w:val="Style_7"/>
    <w:link w:val="Style_17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7_ch" w:type="character">
    <w:name w:val="heading 3"/>
    <w:basedOn w:val="Style_7_ch"/>
    <w:link w:val="Style_17"/>
    <w:rPr>
      <w:b w:val="1"/>
      <w:spacing w:val="30"/>
      <w:sz w:val="36"/>
    </w:rPr>
  </w:style>
  <w:style w:styleId="Style_18" w:type="paragraph">
    <w:name w:val="header"/>
    <w:basedOn w:val="Style_7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7_ch"/>
    <w:link w:val="Style_18"/>
  </w:style>
  <w:style w:styleId="Style_19" w:type="paragraph">
    <w:name w:val="apple-converted-space"/>
    <w:basedOn w:val="Style_11"/>
    <w:link w:val="Style_19_ch"/>
  </w:style>
  <w:style w:styleId="Style_19_ch" w:type="character">
    <w:name w:val="apple-converted-space"/>
    <w:basedOn w:val="Style_11_ch"/>
    <w:link w:val="Style_19"/>
  </w:style>
  <w:style w:styleId="Style_20" w:type="paragraph">
    <w:name w:val="FollowedHyperlink"/>
    <w:link w:val="Style_20_ch"/>
    <w:rPr>
      <w:color w:val="800080"/>
      <w:u w:val="single"/>
    </w:rPr>
  </w:style>
  <w:style w:styleId="Style_20_ch" w:type="character">
    <w:name w:val="FollowedHyperlink"/>
    <w:link w:val="Style_20"/>
    <w:rPr>
      <w:color w:val="800080"/>
      <w:u w:val="single"/>
    </w:rPr>
  </w:style>
  <w:style w:styleId="Style_21" w:type="paragraph">
    <w:name w:val="Emphasis"/>
    <w:link w:val="Style_21_ch"/>
    <w:rPr>
      <w:i w:val="1"/>
    </w:rPr>
  </w:style>
  <w:style w:styleId="Style_21_ch" w:type="character">
    <w:name w:val="Emphasis"/>
    <w:link w:val="Style_21"/>
    <w:rPr>
      <w:i w:val="1"/>
    </w:rPr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  <w:sz w:val="16"/>
    </w:rPr>
  </w:style>
  <w:style w:styleId="Style_22_ch" w:type="character">
    <w:name w:val="ConsTitle"/>
    <w:link w:val="Style_22"/>
    <w:rPr>
      <w:rFonts w:ascii="Arial" w:hAnsi="Arial"/>
      <w:b w:val="1"/>
      <w:sz w:val="16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  <w:sz w:val="28"/>
    </w:rPr>
  </w:style>
  <w:style w:styleId="Style_23_ch" w:type="character">
    <w:name w:val="ConsPlusNonformat"/>
    <w:link w:val="Style_23"/>
    <w:rPr>
      <w:rFonts w:ascii="Courier New" w:hAnsi="Courier New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4" w:type="paragraph">
    <w:name w:val="List Paragraph"/>
    <w:basedOn w:val="Style_7"/>
    <w:link w:val="Style_2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4_ch" w:type="character">
    <w:name w:val="List Paragraph"/>
    <w:basedOn w:val="Style_7_ch"/>
    <w:link w:val="Style_24"/>
    <w:rPr>
      <w:rFonts w:ascii="Calibri" w:hAnsi="Calibri"/>
      <w:sz w:val="22"/>
    </w:rPr>
  </w:style>
  <w:style w:styleId="Style_25" w:type="paragraph">
    <w:name w:val="toc 3"/>
    <w:next w:val="Style_7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Nonformat"/>
    <w:link w:val="Style_26_ch"/>
    <w:pPr>
      <w:widowControl w:val="0"/>
      <w:ind w:right="19772"/>
    </w:pPr>
    <w:rPr>
      <w:rFonts w:ascii="Courier New" w:hAnsi="Courier New"/>
      <w:sz w:val="28"/>
    </w:rPr>
  </w:style>
  <w:style w:styleId="Style_26_ch" w:type="character">
    <w:name w:val="ConsNonformat"/>
    <w:link w:val="Style_26"/>
    <w:rPr>
      <w:rFonts w:ascii="Courier New" w:hAnsi="Courier New"/>
      <w:sz w:val="28"/>
    </w:rPr>
  </w:style>
  <w:style w:styleId="Style_27" w:type="paragraph">
    <w:name w:val="heading 5"/>
    <w:basedOn w:val="Style_7"/>
    <w:next w:val="Style_7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7_ch"/>
    <w:link w:val="Style_27"/>
    <w:rPr>
      <w:b w:val="1"/>
      <w:sz w:val="24"/>
    </w:rPr>
  </w:style>
  <w:style w:styleId="Style_28" w:type="paragraph">
    <w:name w:val="Body Text Indent 2"/>
    <w:basedOn w:val="Style_7"/>
    <w:link w:val="Style_28_ch"/>
    <w:pPr>
      <w:ind w:firstLine="720" w:left="0"/>
      <w:jc w:val="both"/>
    </w:pPr>
    <w:rPr>
      <w:sz w:val="28"/>
    </w:rPr>
  </w:style>
  <w:style w:styleId="Style_28_ch" w:type="character">
    <w:name w:val="Body Text Indent 2"/>
    <w:basedOn w:val="Style_7_ch"/>
    <w:link w:val="Style_28"/>
    <w:rPr>
      <w:sz w:val="28"/>
    </w:rPr>
  </w:style>
  <w:style w:styleId="Style_29" w:type="paragraph">
    <w:name w:val="Заголовок 5 Знак"/>
    <w:link w:val="Style_29_ch"/>
    <w:rPr>
      <w:rFonts w:ascii="Calibri" w:hAnsi="Calibri"/>
      <w:b w:val="1"/>
      <w:i w:val="1"/>
      <w:sz w:val="26"/>
    </w:rPr>
  </w:style>
  <w:style w:styleId="Style_29_ch" w:type="character">
    <w:name w:val="Заголовок 5 Знак"/>
    <w:link w:val="Style_29"/>
    <w:rPr>
      <w:rFonts w:ascii="Calibri" w:hAnsi="Calibri"/>
      <w:b w:val="1"/>
      <w:i w:val="1"/>
      <w:sz w:val="26"/>
    </w:rPr>
  </w:style>
  <w:style w:styleId="Style_30" w:type="paragraph">
    <w:name w:val="heading 1"/>
    <w:basedOn w:val="Style_7"/>
    <w:next w:val="Style_7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7_ch"/>
    <w:link w:val="Style_30"/>
    <w:rPr>
      <w:rFonts w:ascii="AG Souvenir" w:hAnsi="AG Souvenir"/>
      <w:b w:val="1"/>
      <w:spacing w:val="38"/>
      <w:sz w:val="28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Balloon Text"/>
    <w:basedOn w:val="Style_7"/>
    <w:link w:val="Style_33_ch"/>
    <w:rPr>
      <w:rFonts w:ascii="Tahoma" w:hAnsi="Tahoma"/>
      <w:sz w:val="16"/>
    </w:rPr>
  </w:style>
  <w:style w:styleId="Style_33_ch" w:type="character">
    <w:name w:val="Balloon Text"/>
    <w:basedOn w:val="Style_7_ch"/>
    <w:link w:val="Style_33"/>
    <w:rPr>
      <w:rFonts w:ascii="Tahoma" w:hAnsi="Tahoma"/>
      <w:sz w:val="16"/>
    </w:rPr>
  </w:style>
  <w:style w:styleId="Style_34" w:type="paragraph">
    <w:name w:val="heading 8"/>
    <w:basedOn w:val="Style_7"/>
    <w:next w:val="Style_7"/>
    <w:link w:val="Style_34_ch"/>
    <w:uiPriority w:val="9"/>
    <w:qFormat/>
    <w:pPr>
      <w:spacing w:after="60" w:before="240"/>
      <w:ind/>
      <w:outlineLvl w:val="7"/>
    </w:pPr>
    <w:rPr>
      <w:rFonts w:ascii="Calibri" w:hAnsi="Calibri"/>
      <w:i w:val="1"/>
      <w:sz w:val="24"/>
    </w:rPr>
  </w:style>
  <w:style w:styleId="Style_34_ch" w:type="character">
    <w:name w:val="heading 8"/>
    <w:basedOn w:val="Style_7_ch"/>
    <w:link w:val="Style_34"/>
    <w:rPr>
      <w:rFonts w:ascii="Calibri" w:hAnsi="Calibri"/>
      <w:i w:val="1"/>
      <w:sz w:val="24"/>
    </w:rPr>
  </w:style>
  <w:style w:styleId="Style_35" w:type="paragraph">
    <w:name w:val="toc 1"/>
    <w:next w:val="Style_7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7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7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" w:type="paragraph">
    <w:name w:val="List Paragraph"/>
    <w:basedOn w:val="Style_7"/>
    <w:link w:val="Style_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3_ch" w:type="character">
    <w:name w:val="List Paragraph"/>
    <w:basedOn w:val="Style_7_ch"/>
    <w:link w:val="Style_3"/>
    <w:rPr>
      <w:rFonts w:ascii="Calibri" w:hAnsi="Calibri"/>
      <w:sz w:val="22"/>
    </w:rPr>
  </w:style>
  <w:style w:styleId="Style_39" w:type="paragraph">
    <w:name w:val="Body Text 3"/>
    <w:basedOn w:val="Style_7"/>
    <w:link w:val="Style_39_ch"/>
    <w:pPr>
      <w:ind/>
      <w:jc w:val="center"/>
    </w:pPr>
    <w:rPr>
      <w:b w:val="1"/>
      <w:spacing w:val="14"/>
      <w:sz w:val="32"/>
    </w:rPr>
  </w:style>
  <w:style w:styleId="Style_39_ch" w:type="character">
    <w:name w:val="Body Text 3"/>
    <w:basedOn w:val="Style_7_ch"/>
    <w:link w:val="Style_39"/>
    <w:rPr>
      <w:b w:val="1"/>
      <w:spacing w:val="14"/>
      <w:sz w:val="32"/>
    </w:rPr>
  </w:style>
  <w:style w:styleId="Style_40" w:type="paragraph">
    <w:name w:val="toc 5"/>
    <w:next w:val="Style_7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ody Text Indent"/>
    <w:basedOn w:val="Style_7"/>
    <w:link w:val="Style_41_ch"/>
    <w:pPr>
      <w:ind w:firstLine="709" w:left="0"/>
      <w:jc w:val="both"/>
    </w:pPr>
    <w:rPr>
      <w:sz w:val="28"/>
    </w:rPr>
  </w:style>
  <w:style w:styleId="Style_41_ch" w:type="character">
    <w:name w:val="Body Text Indent"/>
    <w:basedOn w:val="Style_7_ch"/>
    <w:link w:val="Style_41"/>
    <w:rPr>
      <w:sz w:val="28"/>
    </w:rPr>
  </w:style>
  <w:style w:styleId="Style_42" w:type="paragraph">
    <w:name w:val="formattext"/>
    <w:basedOn w:val="Style_7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formattext"/>
    <w:basedOn w:val="Style_7_ch"/>
    <w:link w:val="Style_42"/>
    <w:rPr>
      <w:sz w:val="24"/>
    </w:rPr>
  </w:style>
  <w:style w:styleId="Style_43" w:type="paragraph">
    <w:name w:val="Subtitle"/>
    <w:basedOn w:val="Style_7"/>
    <w:link w:val="Style_43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43_ch" w:type="character">
    <w:name w:val="Subtitle"/>
    <w:basedOn w:val="Style_7_ch"/>
    <w:link w:val="Style_43"/>
    <w:rPr>
      <w:b w:val="1"/>
      <w:i w:val="1"/>
      <w:sz w:val="28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44" w:type="paragraph">
    <w:name w:val="Title"/>
    <w:basedOn w:val="Style_7"/>
    <w:link w:val="Style_44_ch"/>
    <w:uiPriority w:val="10"/>
    <w:qFormat/>
    <w:pPr>
      <w:ind w:firstLine="567" w:left="0"/>
      <w:jc w:val="center"/>
    </w:pPr>
    <w:rPr>
      <w:b w:val="1"/>
      <w:sz w:val="28"/>
    </w:rPr>
  </w:style>
  <w:style w:styleId="Style_44_ch" w:type="character">
    <w:name w:val="Title"/>
    <w:basedOn w:val="Style_7_ch"/>
    <w:link w:val="Style_44"/>
    <w:rPr>
      <w:b w:val="1"/>
      <w:sz w:val="28"/>
    </w:rPr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45_ch" w:type="character">
    <w:name w:val="heading 4"/>
    <w:basedOn w:val="Style_7_ch"/>
    <w:link w:val="Style_45"/>
    <w:rPr>
      <w:b w:val="1"/>
      <w:sz w:val="28"/>
    </w:rPr>
  </w:style>
  <w:style w:styleId="Style_46" w:type="paragraph">
    <w:name w:val="Body Text"/>
    <w:basedOn w:val="Style_7"/>
    <w:link w:val="Style_46_ch"/>
    <w:rPr>
      <w:sz w:val="28"/>
    </w:rPr>
  </w:style>
  <w:style w:styleId="Style_46_ch" w:type="character">
    <w:name w:val="Body Text"/>
    <w:basedOn w:val="Style_7_ch"/>
    <w:link w:val="Style_46"/>
    <w:rPr>
      <w:sz w:val="28"/>
    </w:rPr>
  </w:style>
  <w:style w:styleId="Style_47" w:type="paragraph">
    <w:name w:val="heading 2"/>
    <w:basedOn w:val="Style_7"/>
    <w:next w:val="Style_7"/>
    <w:link w:val="Style_47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  <w:sz w:val="28"/>
    </w:rPr>
  </w:style>
  <w:style w:styleId="Style_47_ch" w:type="character">
    <w:name w:val="heading 2"/>
    <w:basedOn w:val="Style_7_ch"/>
    <w:link w:val="Style_47"/>
    <w:rPr>
      <w:b w:val="1"/>
      <w:sz w:val="28"/>
    </w:rPr>
  </w:style>
  <w:style w:styleId="Style_48" w:type="paragraph">
    <w:name w:val="ConsNormal"/>
    <w:link w:val="Style_48_ch"/>
    <w:pPr>
      <w:widowControl w:val="0"/>
      <w:ind w:firstLine="720" w:left="0" w:right="19772"/>
    </w:pPr>
    <w:rPr>
      <w:rFonts w:ascii="Arial" w:hAnsi="Arial"/>
      <w:sz w:val="28"/>
    </w:rPr>
  </w:style>
  <w:style w:styleId="Style_48_ch" w:type="character">
    <w:name w:val="ConsNormal"/>
    <w:link w:val="Style_48"/>
    <w:rPr>
      <w:rFonts w:ascii="Arial" w:hAnsi="Arial"/>
      <w:sz w:val="28"/>
    </w:rPr>
  </w:style>
  <w:style w:styleId="Style_49" w:type="paragraph">
    <w:name w:val="ConsPlusNormal"/>
    <w:link w:val="Style_49_ch"/>
    <w:pPr>
      <w:widowControl w:val="0"/>
      <w:ind w:firstLine="720" w:left="0"/>
    </w:pPr>
    <w:rPr>
      <w:rFonts w:ascii="Arial" w:hAnsi="Arial"/>
      <w:sz w:val="28"/>
    </w:rPr>
  </w:style>
  <w:style w:styleId="Style_49_ch" w:type="character">
    <w:name w:val="ConsPlusNormal"/>
    <w:link w:val="Style_49"/>
    <w:rPr>
      <w:rFonts w:ascii="Arial" w:hAnsi="Arial"/>
      <w:sz w:val="28"/>
    </w:rPr>
  </w:style>
  <w:style w:styleId="Style_50" w:type="paragraph">
    <w:name w:val="Body Text 2"/>
    <w:basedOn w:val="Style_7"/>
    <w:link w:val="Style_50_ch"/>
    <w:rPr>
      <w:sz w:val="28"/>
    </w:rPr>
  </w:style>
  <w:style w:styleId="Style_50_ch" w:type="character">
    <w:name w:val="Body Text 2"/>
    <w:basedOn w:val="Style_7_ch"/>
    <w:link w:val="Style_50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2022-07-04T11:01:38Z</dcterms:modified>
</cp:coreProperties>
</file>